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media/image1.png" ContentType="image/pn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"/>
          <w:sz w:val="2"/>
          <w:szCs w:val="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"/>
          <w:sz w:val="2"/>
          <w:szCs w:val="2"/>
          <w:u w:val="none"/>
          <w:shd w:fill="auto" w:val="clear"/>
          <w:vertAlign w:val="baseline"/>
        </w:rPr>
      </w:r>
    </w:p>
    <w:tbl>
      <w:tblPr>
        <w:tblStyle w:val="Table1"/>
        <w:tblW w:w="9825" w:type="dxa"/>
        <w:jc w:val="left"/>
        <w:tblInd w:w="-14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80"/>
        <w:gridCol w:w="1825"/>
        <w:gridCol w:w="425"/>
        <w:gridCol w:w="1860"/>
        <w:gridCol w:w="5235"/>
      </w:tblGrid>
      <w:tr>
        <w:trPr>
          <w:trHeight w:val="144" w:hRule="atLeast"/>
        </w:trPr>
        <w:tc>
          <w:tcPr>
            <w:tcW w:w="4590" w:type="dxa"/>
            <w:gridSpan w:val="4"/>
            <w:tcBorders/>
            <w:vAlign w:val="center"/>
          </w:tcPr>
          <w:p>
            <w:pPr>
              <w:pStyle w:val="normal1"/>
              <w:jc w:val="center"/>
              <w:rPr>
                <w:rFonts w:ascii="Times New Roman" w:hAnsi="Times New Roman" w:eastAsia="Times New Roman" w:cs="Times New Roman"/>
              </w:rPr>
            </w:pPr>
            <w:r>
              <w:rPr/>
              <w:drawing>
                <wp:inline distT="0" distB="0" distL="0" distR="0">
                  <wp:extent cx="651510" cy="1075055"/>
                  <wp:effectExtent l="0" t="0" r="0" b="0"/>
                  <wp:docPr id="1" name="image1.png" descr="C:\Users\Орг1\Desktop\герб\герб_ч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 descr="C:\Users\Орг1\Desktop\герб\герб_ч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510" cy="1075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5" w:type="dxa"/>
            <w:tcBorders/>
            <w:vAlign w:val="center"/>
          </w:tcPr>
          <w:p>
            <w:pPr>
              <w:pStyle w:val="normal1"/>
              <w:jc w:val="center"/>
              <w:rPr/>
            </w:pPr>
            <w:r>
              <w:rPr/>
            </w:r>
          </w:p>
        </w:tc>
      </w:tr>
      <w:tr>
        <w:trPr>
          <w:trHeight w:val="63" w:hRule="atLeast"/>
        </w:trPr>
        <w:tc>
          <w:tcPr>
            <w:tcW w:w="4590" w:type="dxa"/>
            <w:gridSpan w:val="4"/>
            <w:tcBorders/>
            <w:vAlign w:val="center"/>
          </w:tcPr>
          <w:p>
            <w:pPr>
              <w:pStyle w:val="normal1"/>
              <w:rPr>
                <w:rFonts w:ascii="Times New Roman" w:hAnsi="Times New Roman" w:eastAsia="Times New Roman" w:cs="Times New Roman"/>
                <w:b/>
                <w:bCs/>
                <w:sz w:val="10"/>
                <w:szCs w:val="1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0"/>
                <w:szCs w:val="10"/>
              </w:rPr>
            </w:r>
          </w:p>
        </w:tc>
        <w:tc>
          <w:tcPr>
            <w:tcW w:w="5235" w:type="dxa"/>
            <w:tcBorders/>
            <w:vAlign w:val="center"/>
          </w:tcPr>
          <w:p>
            <w:pPr>
              <w:pStyle w:val="normal1"/>
              <w:rPr>
                <w:rFonts w:ascii="Times New Roman" w:hAnsi="Times New Roman" w:eastAsia="Times New Roman" w:cs="Times New Roman"/>
                <w:b/>
                <w:bCs/>
                <w:sz w:val="10"/>
                <w:szCs w:val="1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0"/>
                <w:szCs w:val="10"/>
              </w:rPr>
            </w:r>
          </w:p>
        </w:tc>
      </w:tr>
      <w:tr>
        <w:trPr>
          <w:trHeight w:val="600" w:hRule="atLeast"/>
        </w:trPr>
        <w:tc>
          <w:tcPr>
            <w:tcW w:w="4590" w:type="dxa"/>
            <w:gridSpan w:val="4"/>
            <w:tcBorders/>
            <w:vAlign w:val="center"/>
          </w:tcPr>
          <w:p>
            <w:pPr>
              <w:pStyle w:val="normal1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Кемеровская область - Кузбасс</w:t>
            </w:r>
          </w:p>
          <w:p>
            <w:pPr>
              <w:pStyle w:val="normal1"/>
              <w:spacing w:lineRule="auto" w:line="27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Новокузнецкий городской округ</w:t>
            </w:r>
          </w:p>
          <w:p>
            <w:pPr>
              <w:pStyle w:val="normal1"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УПРАВЛЕНИЕ ЭКОНОМИЧЕСКОГО РАЗВИТИЯ, ПРОМЫШЛЕННОСТИ И ИНВЕСТИЦИЙ АДМИНИСТРАЦИИ ГОРОДА НОВОКУЗНЕЦКА</w:t>
            </w:r>
          </w:p>
          <w:p>
            <w:pPr>
              <w:pStyle w:val="normal1"/>
              <w:ind w:firstLine="1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Кирова ул., д.71, Новокузнецк, 654080</w:t>
            </w:r>
          </w:p>
          <w:p>
            <w:pPr>
              <w:pStyle w:val="normal1"/>
              <w:ind w:firstLine="1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тел. (3843)32-15-83, тел./факс (3843)32-16-51</w:t>
            </w:r>
          </w:p>
          <w:p>
            <w:pPr>
              <w:pStyle w:val="normal1"/>
              <w:ind w:firstLine="1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телетайп 277207 «Иней»</w:t>
            </w:r>
          </w:p>
          <w:p>
            <w:pPr>
              <w:pStyle w:val="normal1"/>
              <w:ind w:firstLine="1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E-mail: priem533@admnkz.info</w:t>
            </w:r>
          </w:p>
        </w:tc>
        <w:tc>
          <w:tcPr>
            <w:tcW w:w="5235" w:type="dxa"/>
            <w:vMerge w:val="restart"/>
            <w:tcBorders/>
          </w:tcPr>
          <w:p>
            <w:pPr>
              <w:pStyle w:val="normal1"/>
              <w:spacing w:lineRule="auto" w:line="240" w:before="0" w:after="20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Председателю Комитета градостроительства и архитектуры администрации города Новокузнецка</w:t>
            </w:r>
          </w:p>
          <w:p>
            <w:pPr>
              <w:pStyle w:val="normal1"/>
              <w:spacing w:lineRule="auto" w:line="240" w:before="0" w:after="20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В.С. Левченко</w:t>
            </w:r>
          </w:p>
        </w:tc>
      </w:tr>
      <w:tr>
        <w:trPr>
          <w:trHeight w:val="335" w:hRule="atLeast"/>
        </w:trPr>
        <w:tc>
          <w:tcPr>
            <w:tcW w:w="480" w:type="dxa"/>
            <w:tcBorders/>
            <w:shd w:fill="auto" w:val="clear"/>
            <w:vAlign w:val="bottom"/>
          </w:tcPr>
          <w:p>
            <w:pPr>
              <w:pStyle w:val="normal1"/>
              <w:ind w:right="1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от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1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25" w:type="dxa"/>
            <w:tcBorders/>
            <w:shd w:fill="auto" w:val="clear"/>
            <w:vAlign w:val="bottom"/>
          </w:tcPr>
          <w:p>
            <w:pPr>
              <w:pStyle w:val="normal1"/>
              <w:ind w:right="1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№</w:t>
            </w:r>
          </w:p>
        </w:tc>
        <w:tc>
          <w:tcPr>
            <w:tcW w:w="186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1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235" w:type="dxa"/>
            <w:vMerge w:val="continue"/>
            <w:tcBorders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480" w:type="dxa"/>
            <w:tcBorders/>
            <w:vAlign w:val="bottom"/>
          </w:tcPr>
          <w:p>
            <w:pPr>
              <w:pStyle w:val="normal1"/>
              <w:ind w:right="1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</w:rPr>
              <w:t>н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а</w:t>
            </w:r>
          </w:p>
        </w:tc>
        <w:tc>
          <w:tcPr>
            <w:tcW w:w="4110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1"/>
              <w:ind w:right="1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235" w:type="dxa"/>
            <w:vMerge w:val="continue"/>
            <w:tcBorders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</w:tbl>
    <w:p>
      <w:pPr>
        <w:pStyle w:val="normal1"/>
        <w:widowControl w:val="false"/>
        <w:spacing w:lineRule="auto" w:line="240" w:before="200" w:after="20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Заключение об оценке регулирующего воздействия</w:t>
      </w:r>
    </w:p>
    <w:p>
      <w:pPr>
        <w:pStyle w:val="normal1"/>
        <w:widowControl w:val="false"/>
        <w:spacing w:lineRule="auto" w:line="240" w:before="0" w:after="0"/>
        <w:ind w:firstLine="72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Управление экономического развития, промышленности и инвестиций администрации города Новокузнецка</w:t>
      </w:r>
    </w:p>
    <w:p>
      <w:pPr>
        <w:pStyle w:val="normal1"/>
        <w:widowControl w:val="false"/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/>
        <mc:AlternateContent>
          <mc:Choice Requires="wps">
            <w:drawing>
              <wp:inline distT="0" distB="0" distL="0" distR="0">
                <wp:extent cx="6119495" cy="19050"/>
                <wp:effectExtent l="0" t="0" r="0" b="0"/>
                <wp:docPr id="2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4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Фигура1" path="m0,0l-2147483645,0l-2147483645,-2147483646l0,-2147483646xe" fillcolor="#a0a0a0" stroked="f" o:allowincell="f" style="position:absolute;margin-left:0pt;margin-top:-1.55pt;width:481.8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1"/>
        <w:widowControl w:val="false"/>
        <w:spacing w:lineRule="auto" w:line="240" w:before="0" w:after="0"/>
        <w:ind w:hanging="0" w:left="0"/>
        <w:jc w:val="center"/>
        <w:rPr>
          <w:rFonts w:ascii="Times New Roman" w:hAnsi="Times New Roman" w:eastAsia="Times New Roman" w:cs="Times New Roman"/>
          <w:sz w:val="26"/>
          <w:szCs w:val="26"/>
          <w:vertAlign w:val="superscript"/>
        </w:rPr>
      </w:pPr>
      <w:r>
        <w:rPr>
          <w:rFonts w:eastAsia="Times New Roman" w:cs="Times New Roman" w:ascii="Times New Roman" w:hAnsi="Times New Roman"/>
          <w:sz w:val="26"/>
          <w:szCs w:val="26"/>
          <w:vertAlign w:val="superscript"/>
        </w:rPr>
        <w:t>(наименование уполномоченного органа)</w:t>
      </w:r>
    </w:p>
    <w:p>
      <w:pPr>
        <w:pStyle w:val="normal1"/>
        <w:widowControl w:val="false"/>
        <w:spacing w:lineRule="auto" w:line="240" w:before="0" w:after="0"/>
        <w:ind w:hanging="0" w:left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в соответствии с Порядком проведения оценки регулирующего воздействия проектов муниципальных нормативных правовых актов Новокузнецкого городского округа, утвержденным решением Новокузнецкого городского Совета народных депутатов от 24.12.2024 №18/108 «Об оценке регулирующего воздействия проектов муниципальных нормативных правовых актов Новокузнецкого городского округа и экспертизе муниципальных нормативных правовых актов Новокузнецкого городского округа, затрагивающих вопросы осуществления предпринимательской и инвестиционной деятельности» (далее – Порядок проведения оценки регулирующего воздействия), </w:t>
      </w:r>
    </w:p>
    <w:p>
      <w:pPr>
        <w:pStyle w:val="normal1"/>
        <w:widowControl w:val="false"/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/>
        <mc:AlternateContent>
          <mc:Choice Requires="wps">
            <w:drawing>
              <wp:inline distT="0" distB="0" distL="0" distR="0">
                <wp:extent cx="6119495" cy="19050"/>
                <wp:effectExtent l="0" t="0" r="0" b="0"/>
                <wp:docPr id="3" name="Фигур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4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Фигура2" path="m0,0l-2147483645,0l-2147483645,-2147483646l0,-2147483646xe" fillcolor="#a0a0a0" stroked="f" o:allowincell="f" style="position:absolute;margin-left:0pt;margin-top:-1.55pt;width:481.8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1"/>
        <w:widowControl w:val="false"/>
        <w:spacing w:lineRule="auto" w:line="240"/>
        <w:jc w:val="center"/>
        <w:rPr>
          <w:rFonts w:ascii="Times New Roman" w:hAnsi="Times New Roman" w:eastAsia="Times New Roman" w:cs="Times New Roman"/>
          <w:sz w:val="26"/>
          <w:szCs w:val="26"/>
          <w:vertAlign w:val="superscript"/>
        </w:rPr>
      </w:pPr>
      <w:r>
        <w:rPr>
          <w:rFonts w:eastAsia="Times New Roman" w:cs="Times New Roman" w:ascii="Times New Roman" w:hAnsi="Times New Roman"/>
          <w:sz w:val="26"/>
          <w:szCs w:val="26"/>
          <w:vertAlign w:val="superscript"/>
        </w:rPr>
        <w:t>(нормативный правовой акт, устанавливающий порядок проведения оценки регулирующего воздействия)</w:t>
      </w:r>
    </w:p>
    <w:p>
      <w:pPr>
        <w:pStyle w:val="normal1"/>
        <w:widowControl w:val="false"/>
        <w:spacing w:lineRule="auto" w:line="240" w:before="0" w:after="0"/>
        <w:ind w:hanging="0" w:left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рассмотрело проект решения Новокузнецкого городского Совета народных депутатов «О внесении изменений в решение Новокузнецкого городского Совета народных депутатов от 24.12.2013 №16/198 «Об утверждении Правил благоустройства территории Новокузнецкого городского округа» (далее – проект акта),</w:t>
      </w:r>
    </w:p>
    <w:p>
      <w:pPr>
        <w:pStyle w:val="normal1"/>
        <w:widowControl w:val="false"/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/>
        <mc:AlternateContent>
          <mc:Choice Requires="wps">
            <w:drawing>
              <wp:inline distT="0" distB="0" distL="0" distR="0">
                <wp:extent cx="6119495" cy="19050"/>
                <wp:effectExtent l="0" t="0" r="0" b="0"/>
                <wp:docPr id="4" name="Фигур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4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Фигура3" path="m0,0l-2147483645,0l-2147483645,-2147483646l0,-2147483646xe" fillcolor="#a0a0a0" stroked="f" o:allowincell="f" style="position:absolute;margin-left:0pt;margin-top:-1.55pt;width:481.8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1"/>
        <w:widowControl w:val="false"/>
        <w:spacing w:lineRule="auto" w:line="240" w:before="0" w:after="0"/>
        <w:ind w:hanging="0" w:left="0"/>
        <w:jc w:val="center"/>
        <w:rPr>
          <w:rFonts w:ascii="Times New Roman" w:hAnsi="Times New Roman" w:eastAsia="Times New Roman" w:cs="Times New Roman"/>
          <w:sz w:val="26"/>
          <w:szCs w:val="26"/>
          <w:vertAlign w:val="superscript"/>
        </w:rPr>
      </w:pPr>
      <w:r>
        <w:rPr>
          <w:rFonts w:eastAsia="Times New Roman" w:cs="Times New Roman" w:ascii="Times New Roman" w:hAnsi="Times New Roman"/>
          <w:sz w:val="26"/>
          <w:szCs w:val="26"/>
          <w:vertAlign w:val="superscript"/>
        </w:rPr>
        <w:t>(наименование проекта муниципального нормативного правового акта)</w:t>
      </w:r>
    </w:p>
    <w:p>
      <w:pPr>
        <w:pStyle w:val="normal1"/>
        <w:widowControl w:val="false"/>
        <w:spacing w:lineRule="auto" w:line="240" w:before="0" w:after="0"/>
        <w:ind w:hanging="0" w:left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подготовленный и направленный для подготовки настоящего заключения Комитетом градостроительства и архитектуры администрации города Новокузнецка (далее – разработчик),</w:t>
      </w:r>
    </w:p>
    <w:p>
      <w:pPr>
        <w:pStyle w:val="normal1"/>
        <w:widowControl w:val="false"/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/>
        <mc:AlternateContent>
          <mc:Choice Requires="wps">
            <w:drawing>
              <wp:inline distT="0" distB="0" distL="0" distR="0">
                <wp:extent cx="6119495" cy="19050"/>
                <wp:effectExtent l="0" t="0" r="0" b="0"/>
                <wp:docPr id="5" name="Фигур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4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Фигура4" path="m0,0l-2147483645,0l-2147483645,-2147483646l0,-2147483646xe" fillcolor="#a0a0a0" stroked="f" o:allowincell="f" style="position:absolute;margin-left:0pt;margin-top:-1.55pt;width:481.8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1"/>
        <w:widowControl w:val="false"/>
        <w:spacing w:lineRule="auto" w:line="240" w:before="0" w:after="0"/>
        <w:ind w:hanging="0" w:left="0"/>
        <w:jc w:val="center"/>
        <w:rPr>
          <w:rFonts w:ascii="Times New Roman" w:hAnsi="Times New Roman" w:eastAsia="Times New Roman" w:cs="Times New Roman"/>
          <w:sz w:val="26"/>
          <w:szCs w:val="26"/>
          <w:vertAlign w:val="superscript"/>
        </w:rPr>
      </w:pPr>
      <w:r>
        <w:rPr>
          <w:rFonts w:eastAsia="Times New Roman" w:cs="Times New Roman" w:ascii="Times New Roman" w:hAnsi="Times New Roman"/>
          <w:sz w:val="26"/>
          <w:szCs w:val="26"/>
          <w:vertAlign w:val="superscript"/>
        </w:rPr>
        <w:t>(наименование органа-разработчика, направившего проект акта)</w:t>
      </w:r>
    </w:p>
    <w:p>
      <w:pPr>
        <w:pStyle w:val="normal1"/>
        <w:widowControl w:val="false"/>
        <w:spacing w:lineRule="auto" w:line="240" w:before="0" w:after="0"/>
        <w:ind w:hanging="0" w:left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сообщает следующее.</w:t>
      </w:r>
    </w:p>
    <w:p>
      <w:pPr>
        <w:pStyle w:val="normal1"/>
        <w:widowControl w:val="false"/>
        <w:spacing w:lineRule="auto" w:line="240" w:before="200" w:after="0"/>
        <w:ind w:firstLine="720" w:left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Степень регулирующего воздействия положений, содержащихся в подготовленном проекте акта, высокая.</w:t>
      </w:r>
    </w:p>
    <w:p>
      <w:pPr>
        <w:pStyle w:val="normal1"/>
        <w:widowControl w:val="false"/>
        <w:spacing w:lineRule="auto" w:line="240" w:before="0" w:after="0"/>
        <w:ind w:firstLine="720" w:left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Разработчиком проведены публичные обсуждения проекта акта в сроки с 23.03.2026 по 23.04.2026.</w:t>
      </w:r>
    </w:p>
    <w:p>
      <w:pPr>
        <w:pStyle w:val="normal1"/>
        <w:widowControl w:val="false"/>
        <w:spacing w:lineRule="auto" w:line="240" w:before="0" w:after="0"/>
        <w:ind w:firstLine="720" w:left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На основе проведенной оценки регулирующего воздействия проекта акта с учетом информации, представленной разработчиком в сводном отчете, управлением экономического развития, промышленности и инвестиций администрации города Новокузнецка</w:t>
      </w:r>
    </w:p>
    <w:p>
      <w:pPr>
        <w:pStyle w:val="normal1"/>
        <w:widowControl w:val="false"/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/>
        <mc:AlternateContent>
          <mc:Choice Requires="wps">
            <w:drawing>
              <wp:inline distT="0" distB="0" distL="0" distR="0">
                <wp:extent cx="6119495" cy="19050"/>
                <wp:effectExtent l="0" t="0" r="0" b="0"/>
                <wp:docPr id="6" name="Фигура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4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Фигура5" path="m0,0l-2147483645,0l-2147483645,-2147483646l0,-2147483646xe" fillcolor="#a0a0a0" stroked="f" o:allowincell="f" style="position:absolute;margin-left:0pt;margin-top:-1.55pt;width:481.8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1"/>
        <w:widowControl w:val="false"/>
        <w:spacing w:lineRule="auto" w:line="240" w:before="0" w:after="0"/>
        <w:ind w:hanging="0" w:left="0"/>
        <w:jc w:val="center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  <w:vertAlign w:val="superscript"/>
        </w:rPr>
        <w:t>(наименование уполномоченного органа)</w:t>
      </w:r>
    </w:p>
    <w:p>
      <w:pPr>
        <w:pStyle w:val="normal1"/>
        <w:widowControl w:val="false"/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с</w:t>
      </w:r>
      <w:r>
        <w:rPr>
          <w:rFonts w:eastAsia="Times New Roman" w:cs="Times New Roman" w:ascii="Times New Roman" w:hAnsi="Times New Roman"/>
          <w:sz w:val="24"/>
          <w:szCs w:val="24"/>
        </w:rPr>
        <w:t>деланы следующие выводы:</w:t>
      </w:r>
    </w:p>
    <w:p>
      <w:pPr>
        <w:pStyle w:val="normal1"/>
        <w:widowControl w:val="false"/>
        <w:spacing w:lineRule="auto" w:line="240" w:before="0" w:after="0"/>
        <w:ind w:firstLine="720" w:left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Разработчиком проекта акта соблюдены все процедуры, предусмотренные Порядком проведения оценки регулирующего воздействия, и на основании представленного разработчиком сводного отчета решение проблемы предложенным проектом акта способом регулирования признано достаточно обоснованным.</w:t>
      </w:r>
    </w:p>
    <w:p>
      <w:pPr>
        <w:pStyle w:val="normal1"/>
        <w:widowControl w:val="false"/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/>
        <mc:AlternateContent>
          <mc:Choice Requires="wps">
            <w:drawing>
              <wp:inline distT="0" distB="0" distL="0" distR="0">
                <wp:extent cx="6119495" cy="19050"/>
                <wp:effectExtent l="0" t="0" r="0" b="0"/>
                <wp:docPr id="7" name="Фигура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4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Фигура6" path="m0,0l-2147483645,0l-2147483645,-2147483646l0,-2147483646xe" fillcolor="#a0a0a0" stroked="f" o:allowincell="f" style="position:absolute;margin-left:0pt;margin-top:-1.55pt;width:481.8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1"/>
        <w:widowControl w:val="false"/>
        <w:spacing w:lineRule="auto" w:line="240"/>
        <w:jc w:val="center"/>
        <w:rPr>
          <w:rFonts w:ascii="Times New Roman" w:hAnsi="Times New Roman" w:eastAsia="Times New Roman" w:cs="Times New Roman"/>
          <w:sz w:val="26"/>
          <w:szCs w:val="26"/>
          <w:vertAlign w:val="superscript"/>
        </w:rPr>
      </w:pPr>
      <w:r>
        <w:rPr>
          <w:rFonts w:eastAsia="Times New Roman" w:cs="Times New Roman" w:ascii="Times New Roman" w:hAnsi="Times New Roman"/>
          <w:sz w:val="26"/>
          <w:szCs w:val="26"/>
          <w:vertAlign w:val="superscript"/>
        </w:rPr>
        <w:t>(вывод о наличии либо отсутствии достаточного обоснования решения проблемы предложенным способом регулирования)</w:t>
      </w:r>
    </w:p>
    <w:p>
      <w:pPr>
        <w:pStyle w:val="normal1"/>
        <w:widowControl w:val="false"/>
        <w:spacing w:lineRule="auto" w:line="240"/>
        <w:ind w:firstLine="72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Положения, вводящие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положения, способствующие возникновению необоснованных расходов субъектов предпринимательской и иной экономической деятельности и бюджета Новокузнецкого городского округа, в проекте акта отсутствуют.</w:t>
      </w:r>
    </w:p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  <w:sz w:val="26"/>
          <w:szCs w:val="26"/>
        </w:rPr>
      </w:pPr>
      <w:r>
        <w:rPr/>
        <mc:AlternateContent>
          <mc:Choice Requires="wps">
            <w:drawing>
              <wp:inline distT="0" distB="0" distL="0" distR="0">
                <wp:extent cx="6119495" cy="19050"/>
                <wp:effectExtent l="0" t="0" r="0" b="0"/>
                <wp:docPr id="8" name="Фигура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4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Фигура7" path="m0,0l-2147483645,0l-2147483645,-2147483646l0,-2147483646xe" fillcolor="#a0a0a0" stroked="f" o:allowincell="f" style="position:absolute;margin-left:0pt;margin-top:-1.55pt;width:481.8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1"/>
        <w:widowControl w:val="false"/>
        <w:spacing w:lineRule="auto" w:line="240"/>
        <w:jc w:val="center"/>
        <w:rPr>
          <w:rFonts w:ascii="Times New Roman" w:hAnsi="Times New Roman" w:eastAsia="Times New Roman" w:cs="Times New Roman"/>
          <w:sz w:val="26"/>
          <w:szCs w:val="26"/>
          <w:vertAlign w:val="superscript"/>
        </w:rPr>
      </w:pPr>
      <w:r>
        <w:rPr>
          <w:rFonts w:eastAsia="Times New Roman" w:cs="Times New Roman" w:ascii="Times New Roman" w:hAnsi="Times New Roman"/>
          <w:sz w:val="26"/>
          <w:szCs w:val="26"/>
          <w:vertAlign w:val="superscript"/>
        </w:rPr>
        <w:t>(вывод о наличии либо отсутствии положений, вводящих избыточные обязанности, запреты ограничения для субъектов предпринимательской и иной экономической деятельности или/и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бюджета Новокузнецкого городского округа)</w:t>
      </w:r>
    </w:p>
    <w:p>
      <w:pPr>
        <w:pStyle w:val="normal1"/>
        <w:widowControl w:val="false"/>
        <w:spacing w:lineRule="auto" w:line="240"/>
        <w:ind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Предлагаемое регулирование не оказывает влияния на конкурентную среду и носит нормативный характер. Проектом акта устанавливаются порядок и сроки уведомления юридических и физических лиц, осуществляющих предпринимательскую деятельность по предоставлению средств индивидуальной мобильности (далее  - СИМ) в аренду (временное пользование, прокат и  т. д.), о временном приостановлении возможности размещения СИМ на соответствующей территории на период проведения работ (мероприятий), которое осуществляется администрацией города Новокузнецка или уполномоченным ею органом администрации города Новокузнецка.</w:t>
      </w:r>
    </w:p>
    <w:p>
      <w:pPr>
        <w:pStyle w:val="normal1"/>
        <w:widowControl w:val="false"/>
        <w:spacing w:lineRule="auto" w:line="240"/>
        <w:ind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Также проектом предусмотрена обязанность администраций районов города Новокузнецка по направлению копий разрешений на производство земляных работ в органы администрации города Новокузнецка, согласовавшие документы, представленные для получения разрешения. Изменена процедура продления срока действия разрешения на производство земельных работ.</w:t>
      </w:r>
    </w:p>
    <w:p>
      <w:pPr>
        <w:pStyle w:val="normal1"/>
        <w:widowControl w:val="false"/>
        <w:spacing w:lineRule="auto" w:line="240"/>
        <w:ind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Проектом акта определена обязанность Управления дорожно-коммунального хозяйства и благоустройства администрации города Новокузнецка по направлению (вручению) заявителю разрешения на право вырубки зеленых насаждений.</w:t>
      </w:r>
    </w:p>
    <w:p>
      <w:pPr>
        <w:pStyle w:val="normal1"/>
        <w:widowControl w:val="false"/>
        <w:spacing w:lineRule="auto" w:line="240"/>
        <w:ind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ab/>
        <w:t>Реализация положений проекта нормативного правового акта не потребует дополнительных расходов средств бюджета Новокузнецкого городского округа. Риски решения проблемы предложенным способом регулирования и риски негативных последствий не выявлены.</w:t>
      </w:r>
    </w:p>
    <w:p>
      <w:pPr>
        <w:pStyle w:val="normal1"/>
        <w:widowControl w:val="false"/>
        <w:spacing w:lineRule="auto" w:line="240"/>
        <w:ind w:hanging="0" w:left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/>
        <mc:AlternateContent>
          <mc:Choice Requires="wps">
            <w:drawing>
              <wp:inline distT="0" distB="0" distL="0" distR="0">
                <wp:extent cx="6119495" cy="19050"/>
                <wp:effectExtent l="0" t="0" r="0" b="0"/>
                <wp:docPr id="9" name="Фигура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4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Фигура8" path="m0,0l-2147483645,0l-2147483645,-2147483646l0,-2147483646xe" fillcolor="#a0a0a0" stroked="f" o:allowincell="f" style="position:absolute;margin-left:0pt;margin-top:-1.55pt;width:481.8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1"/>
        <w:widowControl w:val="false"/>
        <w:spacing w:lineRule="auto" w:line="240"/>
        <w:ind w:hanging="0" w:left="0"/>
        <w:jc w:val="center"/>
        <w:rPr>
          <w:rFonts w:ascii="Times New Roman" w:hAnsi="Times New Roman" w:eastAsia="Times New Roman" w:cs="Times New Roman"/>
          <w:sz w:val="26"/>
          <w:szCs w:val="26"/>
          <w:vertAlign w:val="superscript"/>
        </w:rPr>
      </w:pPr>
      <w:r>
        <w:rPr>
          <w:rFonts w:eastAsia="Times New Roman" w:cs="Times New Roman" w:ascii="Times New Roman" w:hAnsi="Times New Roman"/>
          <w:sz w:val="26"/>
          <w:szCs w:val="26"/>
          <w:vertAlign w:val="superscript"/>
        </w:rPr>
        <w:t>(обоснование выводов, а также иные замечания и предложения)</w:t>
      </w:r>
    </w:p>
    <w:p>
      <w:pPr>
        <w:pStyle w:val="normal1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</w:r>
    </w:p>
    <w:p>
      <w:pPr>
        <w:pStyle w:val="normal1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</w:r>
    </w:p>
    <w:tbl>
      <w:tblPr>
        <w:tblStyle w:val="Table2"/>
        <w:tblW w:w="958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4845"/>
        <w:gridCol w:w="2384"/>
        <w:gridCol w:w="2356"/>
      </w:tblGrid>
      <w:tr>
        <w:trPr/>
        <w:tc>
          <w:tcPr>
            <w:tcW w:w="4845" w:type="dxa"/>
            <w:tcBorders/>
            <w:shd w:fill="auto" w:val="clear"/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sdt>
              <w:sdtPr>
                <w:tag w:val="goog_rdk_0"/>
                <w:id w:val="1620402702"/>
                <w:lock w:val="contentLocked"/>
                <w:text/>
              </w:sdtPr>
              <w:sdtContent>
                <w:r>
                  <w:rPr>
                    <w:rFonts w:eastAsia="Times New Roman" w:cs="Times New Roman" w:ascii="Times New Roman" w:hAnsi="Times New Roman"/>
                    <w:sz w:val="24"/>
                    <w:szCs w:val="24"/>
                  </w:rPr>
                </w:r>
                <w:r>
                  <w:rPr>
                    <w:rFonts w:eastAsia="Times New Roman" w:cs="Times New Roman" w:ascii="Times New Roman" w:hAnsi="Times New Roman"/>
                    <w:sz w:val="24"/>
                    <w:szCs w:val="24"/>
                  </w:rPr>
                  <w:t>Начальник управления экономического развития, промышленности и инвестиций администрации города Новокузнецка</w:t>
                </w:r>
              </w:sdtContent>
            </w:sdt>
          </w:p>
          <w:p>
            <w:pPr>
              <w:pStyle w:val="normal1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Бажина Елена Игоревна</w:t>
            </w:r>
          </w:p>
        </w:tc>
        <w:tc>
          <w:tcPr>
            <w:tcW w:w="2384" w:type="dxa"/>
            <w:tcBorders/>
            <w:shd w:fill="auto" w:val="clear"/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356" w:type="dxa"/>
            <w:tcBorders/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845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ind w:hanging="0" w:left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vertAlign w:val="superscript"/>
              </w:rPr>
              <w:t>(должность, ФИО руководителя)</w:t>
            </w:r>
          </w:p>
        </w:tc>
        <w:tc>
          <w:tcPr>
            <w:tcW w:w="2384" w:type="dxa"/>
            <w:tcBorders/>
            <w:shd w:fill="auto" w:val="clear"/>
          </w:tcPr>
          <w:p>
            <w:pPr>
              <w:pStyle w:val="normal1"/>
              <w:widowControl w:val="false"/>
              <w:ind w:hanging="0" w:left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vertAlign w:val="superscript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vertAlign w:val="superscript"/>
              </w:rPr>
            </w:r>
          </w:p>
        </w:tc>
        <w:tc>
          <w:tcPr>
            <w:tcW w:w="2356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vertAlign w:val="superscript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vertAlign w:val="superscript"/>
              </w:rPr>
              <w:t>(подпись)</w:t>
            </w:r>
          </w:p>
        </w:tc>
      </w:tr>
    </w:tbl>
    <w:p>
      <w:pPr>
        <w:pStyle w:val="normal1"/>
        <w:widowControl w:val="false"/>
        <w:spacing w:lineRule="auto" w:line="240" w:before="0" w:after="0"/>
        <w:ind w:hanging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418" w:right="851" w:gutter="0" w:header="567" w:top="1134" w:footer="709" w:bottom="1134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choolBook">
    <w:charset w:val="01"/>
    <w:family w:val="roman"/>
    <w:pitch w:val="default"/>
  </w:font>
  <w:font w:name="PT Astra Serif">
    <w:charset w:val="01"/>
    <w:family w:val="roman"/>
    <w:pitch w:val="default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Georgia">
    <w:charset w:val="01"/>
    <w:family w:val="roman"/>
    <w:pitch w:val="default"/>
    <w:embedRegular r:id="rId9" w:fontKey="{09014A78-CABC-4EF0-12AC-5CD89AEFDE09}"/>
    <w:embedItalic r:id="rId10" w:fontKey="{0A014A78-CABC-4EF0-12AC-5CD89AEFDE0A}"/>
  </w:font>
  <w:font w:name="Arial">
    <w:charset w:val="01"/>
    <w:family w:val="swiss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widowControl w:val="false"/>
      <w:jc w:val="both"/>
      <w:rPr>
        <w:sz w:val="20"/>
        <w:szCs w:val="20"/>
      </w:rPr>
    </w:pPr>
    <w:r>
      <w:rPr>
        <w:sz w:val="20"/>
        <w:szCs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widowControl w:val="false"/>
      <w:jc w:val="both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embedTrueTypeFonts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choolBook" w:hAnsi="SchoolBook" w:eastAsia="SchoolBook" w:cs="SchoolBook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SchoolBook" w:hAnsi="SchoolBook" w:eastAsia="SchoolBook" w:cs="SchoolBook"/>
      <w:color w:val="auto"/>
      <w:kern w:val="0"/>
      <w:sz w:val="24"/>
      <w:szCs w:val="24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480" w:after="120"/>
      <w:ind w:hanging="0" w:left="0" w:right="0"/>
      <w:jc w:val="left"/>
    </w:pPr>
    <w:rPr>
      <w:rFonts w:ascii="SchoolBook" w:hAnsi="SchoolBook" w:eastAsia="SchoolBook" w:cs="SchoolBook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360" w:after="80"/>
      <w:ind w:hanging="0" w:left="0" w:right="0"/>
      <w:jc w:val="left"/>
    </w:pPr>
    <w:rPr>
      <w:rFonts w:ascii="SchoolBook" w:hAnsi="SchoolBook" w:eastAsia="SchoolBook" w:cs="SchoolBook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280" w:after="80"/>
      <w:ind w:hanging="0" w:left="0" w:right="0"/>
      <w:jc w:val="left"/>
    </w:pPr>
    <w:rPr>
      <w:rFonts w:ascii="SchoolBook" w:hAnsi="SchoolBook" w:eastAsia="SchoolBook" w:cs="SchoolBook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240" w:after="40"/>
      <w:ind w:hanging="0" w:left="0" w:right="0"/>
      <w:jc w:val="left"/>
    </w:pPr>
    <w:rPr>
      <w:rFonts w:ascii="SchoolBook" w:hAnsi="SchoolBook" w:eastAsia="SchoolBook" w:cs="SchoolBook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220" w:after="40"/>
      <w:ind w:hanging="0" w:left="0" w:right="0"/>
      <w:jc w:val="left"/>
    </w:pPr>
    <w:rPr>
      <w:rFonts w:ascii="SchoolBook" w:hAnsi="SchoolBook" w:eastAsia="SchoolBook" w:cs="SchoolBook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200" w:after="40"/>
      <w:ind w:hanging="0" w:left="0" w:right="0"/>
      <w:jc w:val="left"/>
    </w:pPr>
    <w:rPr>
      <w:rFonts w:ascii="SchoolBook" w:hAnsi="SchoolBook" w:eastAsia="SchoolBook" w:cs="SchoolBook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before="0" w:after="0"/>
      <w:jc w:val="left"/>
    </w:pPr>
    <w:rPr>
      <w:rFonts w:ascii="SchoolBook" w:hAnsi="SchoolBook" w:eastAsia="SchoolBook" w:cs="SchoolBook"/>
      <w:color w:val="auto"/>
      <w:kern w:val="0"/>
      <w:sz w:val="24"/>
      <w:szCs w:val="24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480" w:after="120"/>
      <w:ind w:hanging="0" w:left="0" w:right="0"/>
      <w:jc w:val="left"/>
    </w:pPr>
    <w:rPr>
      <w:rFonts w:ascii="SchoolBook" w:hAnsi="SchoolBook" w:eastAsia="SchoolBook" w:cs="SchoolBook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72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360" w:after="80"/>
      <w:ind w:hanging="0" w:left="0" w:right="0"/>
      <w:jc w:val="left"/>
    </w:pPr>
    <w:rPr>
      <w:rFonts w:ascii="Georgia" w:hAnsi="Georgia" w:eastAsia="Georgia" w:cs="Georgia"/>
      <w:b w:val="false"/>
      <w:bCs w:val="false"/>
      <w:i/>
      <w:iCs/>
      <w:caps w:val="false"/>
      <w:smallCaps w:val="false"/>
      <w:strike w:val="false"/>
      <w:dstrike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Style10">
    <w:name w:val="Колонтитулы"/>
    <w:basedOn w:val="Normal"/>
    <w:qFormat/>
    <w:pPr/>
    <w:rPr/>
  </w:style>
  <w:style w:type="paragraph" w:styleId="Header">
    <w:name w:val="header"/>
    <w:basedOn w:val="Style10"/>
    <w:pPr/>
    <w:rPr/>
  </w:style>
  <w:style w:type="paragraph" w:styleId="Footer">
    <w:name w:val="footer"/>
    <w:basedOn w:val="Style10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</w:style>
  <w:style w:type="table" w:default="1" w:styleId="TableNormal">
    <w:name w:val="TableNormal"/>
  </w:style>
  <w:style w:type="table" w:default="1" w:styleId="TableNormal">
    <w:name w:val="TableNormal"/>
  </w:style>
  <w:style w:type="table" w:default="1" w:styleId="TableNormal">
    <w:name w:val="TableNormal"/>
  </w:style>
  <w:style w:type="table" w:default="1" w:styleId="TableNormal">
    <w:name w:val="TableNormal"/>
  </w:style>
  <w:style w:type="table" w:default="1" w:styleId="TableNormal">
    <w:name w:val="TableNormal"/>
  </w:style>
  <w:style w:type="table" w:default="1" w:styleId="TableNormal">
    <w:name w:val="Table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SSjD6kchRsDhZJvq5fWjGwJdNuw==">CgMxLjAaHwoBMBIaChgICVIUChJ0YWJsZS5yY3l6dmtuZTBkeGk4AHIhMWhFbjBtdVF0YjFKd1hyN1lCakp2TEZuRFVSTVVaRFg4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160</TotalTime>
  <Application>LibreOffice/25.2.6.2$Linux_X86_64 LibreOffice_project/520$Build-2</Application>
  <AppVersion>15.0000</AppVersion>
  <Pages>3</Pages>
  <Words>544</Words>
  <Characters>4633</Characters>
  <CharactersWithSpaces>5146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2026-04-20T14:38:39Z</cp:lastPrinted>
  <dcterms:modified xsi:type="dcterms:W3CDTF">2026-04-28T11:40:00Z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